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widowControl w:val="off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лан</w:t>
      </w:r>
    </w:p>
    <w:p w14:paraId="00000002">
      <w:pPr>
        <w:widowControl w:val="off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лабораторных занятий по дисциплине «Микробиология»</w:t>
      </w:r>
    </w:p>
    <w:p w14:paraId="00000003">
      <w:pPr>
        <w:widowControl w:val="off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off"/>
          <w:b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для студентов 4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курса специальности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«Сестринское дело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cs="Times New Roman" w:eastAsia="Times New Roman" w:hAnsi="Times New Roman"/>
          <w:b w:val="off"/>
          <w:bCs w:val="off"/>
          <w:sz w:val="28"/>
          <w:szCs w:val="28"/>
          <w:lang w:eastAsia="ru-RU"/>
        </w:rPr>
        <w:t>(очно-заочное)</w:t>
      </w:r>
    </w:p>
    <w:p w14:paraId="00000004">
      <w:pPr>
        <w:widowControl w:val="off"/>
        <w:spacing w:after="0" w:line="240" w:lineRule="auto"/>
        <w:ind w:left="1400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на весенний семестр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-2025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учебного года</w:t>
      </w:r>
    </w:p>
    <w:p w14:paraId="00000005"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tbl>
      <w:tblPr>
        <w:tblW w:w="1044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540"/>
        <w:gridCol w:w="9358"/>
        <w:gridCol w:w="542"/>
      </w:tblGrid>
      <w:tr>
        <w:trPr>
          <w:cnfStyle w:val="100000000000"/>
        </w:trPr>
        <w:tc>
          <w:tcPr>
            <w:cnfStyle w:val="101000000000"/>
            <w:tcW w:w="540" w:type="dxa"/>
            <w:shd w:val="clear" w:color="auto" w:fill="auto"/>
          </w:tcPr>
          <w:p w14:paraId="00000006"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cnfStyle w:val="100010000000"/>
            <w:tcW w:w="9358" w:type="dxa"/>
            <w:shd w:val="clear" w:color="auto" w:fill="auto"/>
          </w:tcPr>
          <w:p w14:paraId="00000007">
            <w:pPr>
              <w:widowControl w:val="off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cnfStyle w:val="100100000000"/>
            <w:tcW w:w="542" w:type="dxa"/>
            <w:shd w:val="clear" w:color="auto" w:fill="auto"/>
          </w:tcPr>
          <w:p w14:paraId="00000008"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Часы</w:t>
            </w:r>
          </w:p>
        </w:tc>
      </w:tr>
      <w:tr>
        <w:trPr>
          <w:cnfStyle w:val="000000100000"/>
        </w:trPr>
        <w:tc>
          <w:tcPr>
            <w:cnfStyle w:val="001000100000"/>
            <w:tcW w:w="540" w:type="dxa"/>
            <w:shd w:val="clear" w:color="auto" w:fill="auto"/>
          </w:tcPr>
          <w:p w14:paraId="00000009"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100000"/>
            <w:tcW w:w="9358" w:type="dxa"/>
            <w:shd w:val="clear" w:color="auto" w:fill="auto"/>
          </w:tcPr>
          <w:p w14:paraId="0000000A">
            <w:pPr>
              <w:ind w:right="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Введение в микробиологию. Морфология микроорганизмов. Микроскопический метод в диагностике инфекционных заболеваний.Физиология микроорганизмов. Микробиологический метод в диагностике инфекционных заболеваний. Требования к деконтаминации объектов окружающей среды (современные методы стерилизации, дезинфекции, асептики, антисептики). Классификация антимикробных препаратов. Механизмы действия антибиотиков и формирования резистентности к ним. Методы определения чувствительности микроорганизмов к антимикробным препаратам. Современные методы борьбы с антибиотикорезистентностью.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ru-RU"/>
              </w:rPr>
              <w:t xml:space="preserve">Модуль 1. </w:t>
            </w:r>
          </w:p>
        </w:tc>
        <w:tc>
          <w:tcPr>
            <w:cnfStyle w:val="000100100000"/>
            <w:tcW w:w="542" w:type="dxa"/>
            <w:shd w:val="clear" w:color="auto" w:fill="auto"/>
          </w:tcPr>
          <w:p w14:paraId="0000000B">
            <w:pPr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cnfStyle w:val="000000010000"/>
          <w:trHeight w:val="894"/>
        </w:trPr>
        <w:tc>
          <w:tcPr>
            <w:cnfStyle w:val="001000010000"/>
            <w:tcW w:w="540" w:type="dxa"/>
            <w:shd w:val="clear" w:color="auto" w:fill="auto"/>
          </w:tcPr>
          <w:p w14:paraId="0000000D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10010000"/>
            <w:tcW w:w="9358" w:type="dxa"/>
            <w:shd w:val="clear" w:color="auto" w:fill="auto"/>
          </w:tcPr>
          <w:p w14:paraId="0000000F">
            <w:pPr>
              <w:ind w:right="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Инфекция, инфекционный процесс, инфекционные болезни. Особенности течения и формы инфекций Иммунологические методы диагностики инфекционных заболеваний. Иммунобиологические препараты (классификация, практическое значение). Вакцины. Сыворотки и иммуноглобулины. Диагностические препараты. Аллергологический метод. Генетика бактерий. Мол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екулярно-генетические методы диагностики (ПЦР).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ru-RU"/>
              </w:rPr>
              <w:t xml:space="preserve">Модуль 2. </w:t>
            </w:r>
          </w:p>
        </w:tc>
        <w:tc>
          <w:tcPr>
            <w:cnfStyle w:val="000100010000"/>
            <w:tcW w:w="542" w:type="dxa"/>
            <w:shd w:val="clear" w:color="auto" w:fill="auto"/>
          </w:tcPr>
          <w:p w14:paraId="00000010">
            <w:pPr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>
        <w:trPr>
          <w:cnfStyle w:val="000000100000"/>
        </w:trPr>
        <w:tc>
          <w:tcPr>
            <w:cnfStyle w:val="001000100000"/>
            <w:tcW w:w="540" w:type="dxa"/>
            <w:shd w:val="clear" w:color="auto" w:fill="auto"/>
          </w:tcPr>
          <w:p w14:paraId="00000011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cnfStyle w:val="000010100000"/>
            <w:tcW w:w="9358" w:type="dxa"/>
            <w:shd w:val="clear" w:color="auto" w:fill="auto"/>
          </w:tcPr>
          <w:p w14:paraId="00000012">
            <w:pPr>
              <w:ind w:right="0"/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Характеристика основных возбудителей бактериальных респираторных инфекций: менингококковой инфекции, дифтерии, коклюша, туберкулёза. Эпидемиология. Патогенез заболеваний. Микробиолог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ическая диагностика. Этиотропная терапия и профилактика. Характеристика основных возбудителей бактериальных зоонозных инфекций: болезни Лайма и бруцеллеза. Эпидемиология. Патогенез заболеваний. Микробиологическая диагностика. Этиотропная терапия и профилактика. </w:t>
            </w:r>
          </w:p>
        </w:tc>
        <w:tc>
          <w:tcPr>
            <w:cnfStyle w:val="000100100000"/>
            <w:tcW w:w="542" w:type="dxa"/>
            <w:shd w:val="clear" w:color="auto" w:fill="auto"/>
          </w:tcPr>
          <w:p w14:paraId="00000013">
            <w:pPr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cnfStyle w:val="000000010000"/>
        </w:trPr>
        <w:tc>
          <w:tcPr>
            <w:cnfStyle w:val="001000010000"/>
            <w:tcW w:w="540" w:type="dxa"/>
            <w:shd w:val="clear" w:color="auto" w:fill="auto"/>
          </w:tcPr>
          <w:p w14:paraId="00000014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cnfStyle w:val="000010010000"/>
            <w:tcW w:w="9358" w:type="dxa"/>
            <w:shd w:val="clear" w:color="auto" w:fill="auto"/>
          </w:tcPr>
          <w:p w14:paraId="00000015">
            <w:pPr>
              <w:ind w:right="0"/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Характеристика основных возбудителей бактериальных кишечных инфекций: эшерихиоза, сальмонеллеза, дизентерии. Характеристика возбудителя особо-опасной инфекции - холеры. Эпидемиология. Патогенез заболеваний. Микробиологическая диагностика. Этиотропная терапия и профилактика. Характеристика основных возбудителе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й раневых анаэробных инфекций: столбняка, ботулизма и газовой гангрены. Эпидемиология. Патогенез заболеваний. Микробиологическая диагностика. Этиотропная терапия и профилактика.</w:t>
            </w:r>
          </w:p>
        </w:tc>
        <w:tc>
          <w:tcPr>
            <w:cnfStyle w:val="000100010000"/>
            <w:tcW w:w="542" w:type="dxa"/>
            <w:tcBorders>
              <w:bottom w:val="single" w:color="auto" w:sz="4" w:space="0"/>
            </w:tcBorders>
            <w:shd w:val="clear" w:color="auto" w:fill="auto"/>
          </w:tcPr>
          <w:p w14:paraId="00000016">
            <w:pPr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cnfStyle w:val="000000100000"/>
        </w:trPr>
        <w:tc>
          <w:tcPr>
            <w:cnfStyle w:val="001000100000"/>
            <w:tcW w:w="540" w:type="dxa"/>
            <w:shd w:val="clear" w:color="auto" w:fill="auto"/>
          </w:tcPr>
          <w:p w14:paraId="00000017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cnfStyle w:val="000010100000"/>
            <w:tcW w:w="9358" w:type="dxa"/>
            <w:shd w:val="clear" w:color="auto" w:fill="auto"/>
          </w:tcPr>
          <w:p w14:paraId="00000018">
            <w:pPr>
              <w:ind w:right="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Характеристика основных возбудителей инфекций, передающихся половым путём (ИППП): сифилиса, гонореи, урогенитального хламидиоза. Эпидемиология. Патогенез заболеваний. Микробиологическая диагностика. Этиотропная терапия и профилактика.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ru-RU"/>
              </w:rPr>
              <w:t xml:space="preserve">Модуль 3. </w:t>
            </w:r>
          </w:p>
        </w:tc>
        <w:tc>
          <w:tcPr>
            <w:cnfStyle w:val="000100100000"/>
            <w:tcW w:w="542" w:type="dxa"/>
            <w:shd w:val="clear" w:color="auto" w:fill="auto"/>
          </w:tcPr>
          <w:p w14:paraId="00000019">
            <w:pPr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>
        <w:trPr>
          <w:cnfStyle w:val="000000010000"/>
        </w:trPr>
        <w:tc>
          <w:tcPr>
            <w:cnfStyle w:val="001000010000"/>
            <w:tcW w:w="540" w:type="dxa"/>
            <w:shd w:val="clear" w:color="auto" w:fill="auto"/>
          </w:tcPr>
          <w:p w14:paraId="0000001A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cnfStyle w:val="000010010000"/>
            <w:tcW w:w="9358" w:type="dxa"/>
            <w:shd w:val="clear" w:color="auto" w:fill="auto"/>
          </w:tcPr>
          <w:p w14:paraId="0000001B">
            <w:pPr>
              <w:ind w:right="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Общая вирусология. Методы лабораторной диагностики вирусных инфекций. Характеристика основных возбудителей респираторных вирусных инфекций (гриппа, кори, краснухи, COVID-19). Эпидемиология. Патогенез заболеваний. Микробиологическая диагностика. Этиотропная терапия и профилактика. Характеристика основных возбудителей вирусных природно-очаговых кровяных инфекций: ВИЧ-инфекции,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 гепатитов В,С,Д, геморрагической лихорадки с почечным синдромом, клещевого энцефалита. Эпидемиология. Патогенез заболеваний. Микробиологическая диагностика. Этиотропная терапия и профилактика.Характеристика основных возбудителей вирусных контактных инфекций бешенства, простого герпеса. Эпидемиология. Патогенез заболеваний. Микробиологическая диагностика. Этиотропная терапия и профилактика Характеристика основных возбудителей вирусных кишечных инфекций: гепатитов А и Е, полиомиелита. Эпидемиология. Патогенез заболеваний. Микробиологическая диагностика. Этиотропная терапия и профилактика.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ru-RU"/>
              </w:rPr>
              <w:t xml:space="preserve">Модуль 4. </w:t>
            </w:r>
          </w:p>
        </w:tc>
        <w:tc>
          <w:tcPr>
            <w:cnfStyle w:val="000100010000"/>
            <w:tcW w:w="542" w:type="dxa"/>
            <w:shd w:val="clear" w:color="auto" w:fill="auto"/>
          </w:tcPr>
          <w:p w14:paraId="0000001C">
            <w:pPr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>
        <w:trPr>
          <w:cnfStyle w:val="000000100000"/>
        </w:trPr>
        <w:tc>
          <w:tcPr>
            <w:cnfStyle w:val="001000100000"/>
            <w:tcW w:w="540" w:type="dxa"/>
            <w:shd w:val="clear" w:color="auto" w:fill="auto"/>
          </w:tcPr>
          <w:p w14:paraId="0000001D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cnfStyle w:val="000010100000"/>
            <w:tcW w:w="9358" w:type="dxa"/>
            <w:shd w:val="clear" w:color="auto" w:fill="auto"/>
          </w:tcPr>
          <w:p w14:paraId="0000001E">
            <w:pPr>
              <w:ind w:right="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Санитарно-микробиологический контроль в медицинских организациях (МО).Понятие о возбудителях инфекций, связанных с оказани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ем медицинской помощи (ИСМП). Возбудители гнойно - воспалительных заболеваний (стафилококки, стрептококки, клебсиеллы, синегнойная палочка). Микробиологический контроль в МО. Особенности лабораторной диагностики, лечения и профилактики инфекций, связанных с оказанием медицинской помощи (ИСМП).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ru-RU"/>
              </w:rPr>
              <w:t>Модуль 5.</w:t>
            </w:r>
          </w:p>
        </w:tc>
        <w:tc>
          <w:tcPr>
            <w:cnfStyle w:val="000100100000"/>
            <w:tcW w:w="542" w:type="dxa"/>
            <w:shd w:val="clear" w:color="auto" w:fill="auto"/>
          </w:tcPr>
          <w:p w14:paraId="0000001F">
            <w:pPr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>
        <w:trPr>
          <w:cnfStyle w:val="010000000000"/>
        </w:trPr>
        <w:tc>
          <w:tcPr>
            <w:cnfStyle w:val="011000000000"/>
            <w:tcW w:w="540" w:type="dxa"/>
            <w:shd w:val="clear" w:color="auto" w:fill="auto"/>
          </w:tcPr>
          <w:p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10010000000"/>
            <w:tcW w:w="9358" w:type="dxa"/>
            <w:shd w:val="clear" w:color="auto" w:fill="auto"/>
            <w:vAlign w:val="center"/>
          </w:tcPr>
          <w:p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cnfStyle w:val="010100000000"/>
            <w:tcW w:w="542" w:type="dxa"/>
            <w:shd w:val="clear" w:color="auto" w:fill="auto"/>
          </w:tcPr>
          <w:p w14:paraId="00000022">
            <w:pPr>
              <w:widowControl w:val="off"/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14:paraId="00000023"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Зав. кафедрой                                                        Г.Ш. Исаева</w:t>
      </w:r>
    </w:p>
    <w:p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29"/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2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3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4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5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6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7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5D"/>
    <w:rsid w:val="00332DB2"/>
    <w:rsid w:val="00645491"/>
    <w:rsid w:val="0094240D"/>
    <w:rsid w:val="00C5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2AE3"/>
  <w15:chartTrackingRefBased/>
  <w15:docId w15:val="{ED30A0C9-47CB-4069-804B-E08C4F146E1E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MBiol264</dc:creator>
  <cp:lastModifiedBy>Лариса Викторовна</cp:lastModifiedBy>
</cp:coreProperties>
</file>